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1"/>
        <w:gridCol w:w="1571"/>
        <w:gridCol w:w="425"/>
        <w:gridCol w:w="1419"/>
        <w:gridCol w:w="283"/>
        <w:gridCol w:w="544"/>
        <w:gridCol w:w="143"/>
        <w:gridCol w:w="22"/>
        <w:gridCol w:w="71"/>
        <w:gridCol w:w="1062"/>
        <w:gridCol w:w="144"/>
        <w:gridCol w:w="139"/>
        <w:gridCol w:w="2246"/>
        <w:gridCol w:w="448"/>
        <w:gridCol w:w="1387"/>
      </w:tblGrid>
      <w:tr w:rsidR="00333E8D" w14:paraId="02D448BF" w14:textId="77777777" w:rsidTr="00556BF5">
        <w:tc>
          <w:tcPr>
            <w:tcW w:w="915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49F27205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Общество с ограниченной ответственностью «Страховая компания СОГАЗ-ЖИЗНЬ»</w:t>
            </w:r>
          </w:p>
          <w:p w14:paraId="750D0AB2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нахождения: 107078,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г.Москва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прос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Академика Сахарова, д.10.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Сайт: </w:t>
            </w:r>
            <w:r>
              <w:rPr>
                <w:rStyle w:val="a3"/>
                <w:rFonts w:ascii="Arial" w:hAnsi="Arial" w:cs="Arial"/>
                <w:sz w:val="14"/>
                <w:szCs w:val="14"/>
              </w:rPr>
              <w:t>www.sogaz-life.ru</w:t>
            </w:r>
          </w:p>
          <w:p w14:paraId="1060498D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Почтовый адрес: 107045,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г.Москва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Уланский пер., д.26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>Тел: (800) 600-0440</w:t>
            </w:r>
          </w:p>
          <w:p w14:paraId="58F25580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Лицензия на осуществление страхования СЖ № 3825 от 25.09.2018 г. (страхование жизни)</w:t>
            </w:r>
          </w:p>
          <w:p w14:paraId="63C700F1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Лицензия на осуществление страхования СЛ № 3825 от 25.09.2018 г. (личное страхование иное, чем страхование жизни)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BF78A" w14:textId="77777777" w:rsidR="00333E8D" w:rsidRDefault="00333E8D" w:rsidP="00556BF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61844F" wp14:editId="401D9C72">
                  <wp:extent cx="1047750" cy="533400"/>
                  <wp:effectExtent l="0" t="0" r="0" b="0"/>
                  <wp:docPr id="1" name="Рисунок 1" descr="https://upload.wikimedia.org/wikipedia/ru/thumb/0/0f/SOGAZ_life_blue_rus.jpg/800px-SOGAZ_life_blue_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pload.wikimedia.org/wikipedia/ru/thumb/0/0f/SOGAZ_life_blue_rus.jpg/800px-SOGAZ_life_blue_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25793" r="18384" b="25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E8D" w14:paraId="43E3D0F6" w14:textId="77777777" w:rsidTr="00556BF5"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F7722C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="00333E8D" w14:paraId="207DEDC2" w14:textId="77777777" w:rsidTr="00556BF5">
        <w:tc>
          <w:tcPr>
            <w:tcW w:w="6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D44915" w14:textId="77777777" w:rsidR="00333E8D" w:rsidRDefault="00333E8D" w:rsidP="00556BF5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pacing w:val="-2"/>
                <w:sz w:val="28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9"/>
              </w:rPr>
              <w:t>ПАМЯТКА СТРАХОВАТЕЛЮ ПО ДОГОВОРУ СТРАХОВАНИЯ ЖИЗНИ И ЗДОРОВЬЯ</w:t>
            </w:r>
            <w:r>
              <w:rPr>
                <w:rFonts w:ascii="Arial" w:hAnsi="Arial" w:cs="Arial"/>
                <w:b/>
                <w:color w:val="FFFFFF" w:themeColor="background1"/>
                <w:spacing w:val="-2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25400" w14:prstMaterial="none">
                  <w14:contourClr>
                    <w14:schemeClr w14:val="tx1"/>
                  </w14:contourClr>
                </w14:props3d>
              </w:rPr>
              <w:t xml:space="preserve"> </w:t>
            </w:r>
          </w:p>
        </w:tc>
        <w:tc>
          <w:tcPr>
            <w:tcW w:w="4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046AB2" w14:textId="77777777" w:rsidR="00333E8D" w:rsidRDefault="00333E8D" w:rsidP="00556BF5">
            <w:pPr>
              <w:spacing w:after="0" w:line="240" w:lineRule="auto"/>
              <w:ind w:left="-108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25400" w14:prstMaterial="none">
                  <w14:contourClr>
                    <w14:schemeClr w14:val="tx1"/>
                  </w14:contourClr>
                </w14:props3d>
              </w:rPr>
              <w:t>ПРОФЕССИОНАЛЬНАЯ ЗАЩИТА</w:t>
            </w:r>
          </w:p>
        </w:tc>
      </w:tr>
      <w:tr w:rsidR="00333E8D" w14:paraId="7A1DCC30" w14:textId="77777777" w:rsidTr="00556BF5">
        <w:trPr>
          <w:trHeight w:val="57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A16DCB5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noProof/>
                <w:color w:val="002060"/>
                <w:sz w:val="16"/>
                <w:szCs w:val="16"/>
              </w:rPr>
            </w:pPr>
          </w:p>
        </w:tc>
      </w:tr>
      <w:tr w:rsidR="00333E8D" w14:paraId="125E22B4" w14:textId="77777777" w:rsidTr="00556BF5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F55BB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585" w:dyaOrig="540" w14:anchorId="4B07A1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7pt" o:ole="">
                  <v:imagedata r:id="rId6" o:title=""/>
                </v:shape>
                <o:OLEObject Type="Embed" ProgID="PBrush" ShapeID="_x0000_i1025" DrawAspect="Content" ObjectID="_1694848339" r:id="rId7"/>
              </w:object>
            </w:r>
          </w:p>
        </w:tc>
        <w:tc>
          <w:tcPr>
            <w:tcW w:w="98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8D05D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18"/>
              </w:rPr>
              <w:t>Накопительное страхование жизни – это</w:t>
            </w:r>
          </w:p>
        </w:tc>
      </w:tr>
      <w:tr w:rsidR="00333E8D" w14:paraId="28D6D9A5" w14:textId="77777777" w:rsidTr="00556BF5">
        <w:trPr>
          <w:trHeight w:val="57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661F98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333E8D" w14:paraId="459197A7" w14:textId="77777777" w:rsidTr="00556BF5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685719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t xml:space="preserve">ГАРАНТИРОВАННЫЕ НАКОПЛЕНИЯ </w:t>
            </w:r>
            <w:r>
              <w:rPr>
                <w:rFonts w:ascii="Arial" w:hAnsi="Arial" w:cs="Arial"/>
                <w:sz w:val="16"/>
                <w:szCs w:val="19"/>
              </w:rPr>
              <w:t>к определенному сроку</w:t>
            </w:r>
          </w:p>
        </w:tc>
        <w:tc>
          <w:tcPr>
            <w:tcW w:w="3686" w:type="dxa"/>
            <w:gridSpan w:val="8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EE230DA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t xml:space="preserve">СТРАХОВАЯ ЗАЩИТА </w:t>
            </w:r>
            <w:r>
              <w:rPr>
                <w:rFonts w:ascii="Arial" w:hAnsi="Arial" w:cs="Arial"/>
                <w:sz w:val="16"/>
                <w:szCs w:val="19"/>
              </w:rPr>
              <w:t xml:space="preserve">на случай смерти и утраты профессиональной трудоспособности </w:t>
            </w:r>
          </w:p>
        </w:tc>
        <w:tc>
          <w:tcPr>
            <w:tcW w:w="4218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678DBB5" w14:textId="77777777" w:rsidR="00333E8D" w:rsidRDefault="00333E8D" w:rsidP="00556BF5">
            <w:pPr>
              <w:spacing w:after="0" w:line="240" w:lineRule="auto"/>
              <w:ind w:right="-142"/>
              <w:rPr>
                <w:rFonts w:ascii="Arial" w:hAnsi="Arial" w:cs="Arial"/>
                <w:b/>
                <w:sz w:val="16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7"/>
                <w:shd w:val="clear" w:color="auto" w:fill="F2F2F2" w:themeFill="background1" w:themeFillShade="F2"/>
              </w:rPr>
              <w:t xml:space="preserve">СОЦИАЛЬНЫЙ НАЛОГОВЫЙ ВЫЧЕТ </w:t>
            </w:r>
            <w:r>
              <w:rPr>
                <w:rFonts w:ascii="Arial" w:hAnsi="Arial" w:cs="Arial"/>
                <w:sz w:val="16"/>
                <w:szCs w:val="17"/>
                <w:shd w:val="clear" w:color="auto" w:fill="F2F2F2" w:themeFill="background1" w:themeFillShade="F2"/>
              </w:rPr>
              <w:t>по договорам страхования на срок не менее 5 лет</w:t>
            </w:r>
            <w:r>
              <w:rPr>
                <w:rFonts w:ascii="Arial" w:hAnsi="Arial" w:cs="Arial"/>
                <w:b/>
                <w:sz w:val="16"/>
                <w:szCs w:val="17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  <w:sz w:val="16"/>
                <w:szCs w:val="17"/>
                <w:shd w:val="clear" w:color="auto" w:fill="F2F2F2" w:themeFill="background1" w:themeFillShade="F2"/>
              </w:rPr>
              <w:t>в размере 13%, возвращаемый с каждого уплаченного страхового взноса (не свыше 120 тыс. руб. в год)</w:t>
            </w:r>
          </w:p>
        </w:tc>
      </w:tr>
      <w:tr w:rsidR="00333E8D" w14:paraId="5DA2283D" w14:textId="77777777" w:rsidTr="00556BF5">
        <w:trPr>
          <w:trHeight w:val="57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73C6E5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6"/>
                <w:szCs w:val="21"/>
              </w:rPr>
            </w:pPr>
          </w:p>
        </w:tc>
      </w:tr>
      <w:tr w:rsidR="00333E8D" w14:paraId="498E65B3" w14:textId="77777777" w:rsidTr="00556BF5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E9F7A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615" w:dyaOrig="615" w14:anchorId="7ED5F308">
                <v:shape id="_x0000_i1026" type="#_x0000_t75" style="width:30.75pt;height:30.75pt" o:ole="">
                  <v:imagedata r:id="rId8" o:title=""/>
                </v:shape>
                <o:OLEObject Type="Embed" ProgID="PBrush" ShapeID="_x0000_i1026" DrawAspect="Content" ObjectID="_1694848340" r:id="rId9"/>
              </w:object>
            </w:r>
          </w:p>
        </w:tc>
        <w:tc>
          <w:tcPr>
            <w:tcW w:w="98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8D3B3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18"/>
              </w:rPr>
              <w:t>Термины</w:t>
            </w:r>
          </w:p>
        </w:tc>
      </w:tr>
      <w:tr w:rsidR="00333E8D" w14:paraId="1897BE29" w14:textId="77777777" w:rsidTr="00556BF5"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E05E8A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"/>
              </w:rPr>
            </w:pPr>
          </w:p>
        </w:tc>
      </w:tr>
      <w:tr w:rsidR="00333E8D" w14:paraId="5ADFF160" w14:textId="77777777" w:rsidTr="00556BF5"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F46" w14:textId="77777777" w:rsidR="00333E8D" w:rsidRDefault="00333E8D" w:rsidP="00556BF5">
            <w:pPr>
              <w:pStyle w:val="a7"/>
              <w:numPr>
                <w:ilvl w:val="0"/>
                <w:numId w:val="1"/>
              </w:numPr>
              <w:ind w:left="142" w:hanging="142"/>
              <w:contextualSpacing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Страховщик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– страховая организация (СОГАЗ-ЖИЗНЬ)</w:t>
            </w:r>
          </w:p>
          <w:p w14:paraId="559032A1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F33F28" w14:textId="77777777" w:rsidR="00333E8D" w:rsidRDefault="00333E8D" w:rsidP="00556BF5">
            <w:pPr>
              <w:pStyle w:val="a7"/>
              <w:numPr>
                <w:ilvl w:val="0"/>
                <w:numId w:val="1"/>
              </w:numPr>
              <w:ind w:left="142" w:hanging="142"/>
              <w:contextualSpacing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Страховая сумма -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денежная сумма, исходя из которой определяется размер страховой выплаты и размер страховой премии</w:t>
            </w: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A8DE3" w14:textId="77777777" w:rsidR="00333E8D" w:rsidRDefault="00333E8D" w:rsidP="00556BF5">
            <w:pPr>
              <w:pStyle w:val="a7"/>
              <w:ind w:left="142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2BB0" w14:textId="77777777" w:rsidR="00333E8D" w:rsidRDefault="00333E8D" w:rsidP="00556BF5">
            <w:pPr>
              <w:pStyle w:val="a7"/>
              <w:numPr>
                <w:ilvl w:val="0"/>
                <w:numId w:val="1"/>
              </w:numPr>
              <w:ind w:left="142" w:hanging="142"/>
              <w:contextualSpacing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Страховая премия (страховые взносы) – 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плата за страхование, которую Страхователь обязан уплатить Страховщику</w:t>
            </w:r>
          </w:p>
          <w:p w14:paraId="4042B9D5" w14:textId="77777777" w:rsidR="00333E8D" w:rsidRDefault="00333E8D" w:rsidP="00556BF5">
            <w:pPr>
              <w:pStyle w:val="a7"/>
              <w:numPr>
                <w:ilvl w:val="0"/>
                <w:numId w:val="1"/>
              </w:numPr>
              <w:ind w:left="142" w:hanging="142"/>
              <w:contextualSpacing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Выкупная сумма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– сумма в пределах сформированного страхового резерва на день прекращения Договора, возвращаемая Страхователю при расторжении Договора</w:t>
            </w:r>
          </w:p>
        </w:tc>
      </w:tr>
      <w:tr w:rsidR="00333E8D" w14:paraId="7EBE8BBE" w14:textId="77777777" w:rsidTr="00556BF5">
        <w:trPr>
          <w:trHeight w:val="57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D746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33E8D" w14:paraId="656AA3B4" w14:textId="77777777" w:rsidTr="00556BF5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3E6C4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615" w:dyaOrig="600" w14:anchorId="70D96C65">
                <v:shape id="_x0000_i1027" type="#_x0000_t75" style="width:30.75pt;height:30pt" o:ole="">
                  <v:imagedata r:id="rId10" o:title=""/>
                </v:shape>
                <o:OLEObject Type="Embed" ProgID="PBrush" ShapeID="_x0000_i1027" DrawAspect="Content" ObjectID="_1694848341" r:id="rId11"/>
              </w:object>
            </w:r>
          </w:p>
        </w:tc>
        <w:tc>
          <w:tcPr>
            <w:tcW w:w="98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8D907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18"/>
              </w:rPr>
              <w:t xml:space="preserve">Договор накопительного страхования жизни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(далее – Договор)</w:t>
            </w:r>
          </w:p>
        </w:tc>
      </w:tr>
      <w:tr w:rsidR="00333E8D" w14:paraId="5C2C515E" w14:textId="77777777" w:rsidTr="00556BF5">
        <w:trPr>
          <w:trHeight w:val="57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171924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"/>
              </w:rPr>
            </w:pPr>
          </w:p>
        </w:tc>
      </w:tr>
      <w:tr w:rsidR="00333E8D" w:rsidRPr="00333E8D" w14:paraId="7DC8F942" w14:textId="77777777" w:rsidTr="00556BF5"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3A7471" w14:textId="77777777" w:rsidR="00333E8D" w:rsidRPr="00333E8D" w:rsidRDefault="00333E8D" w:rsidP="00556BF5">
            <w:pPr>
              <w:pStyle w:val="a7"/>
              <w:numPr>
                <w:ilvl w:val="0"/>
                <w:numId w:val="2"/>
              </w:numPr>
              <w:ind w:left="142" w:hanging="142"/>
              <w:contextualSpacing/>
              <w:rPr>
                <w:rFonts w:ascii="Arial" w:hAnsi="Arial" w:cs="Arial"/>
                <w:sz w:val="18"/>
                <w:szCs w:val="17"/>
                <w:lang w:eastAsia="en-US"/>
              </w:rPr>
            </w:pPr>
            <w:r w:rsidRPr="00333E8D">
              <w:rPr>
                <w:rFonts w:ascii="Arial" w:hAnsi="Arial" w:cs="Arial"/>
                <w:sz w:val="18"/>
                <w:szCs w:val="17"/>
                <w:lang w:eastAsia="en-US"/>
              </w:rPr>
              <w:t>Договор не является банковским вкладом и не входит в систему гарантирования Агентства по страхованию вкладов в соответствии с Федеральным законом от 23.12.2003 № 177-ФЗ «О страховании вкладов физических лиц в банках Российской Федерации»</w:t>
            </w:r>
          </w:p>
          <w:p w14:paraId="7C91DF1A" w14:textId="77777777" w:rsidR="00333E8D" w:rsidRPr="00333E8D" w:rsidRDefault="00333E8D" w:rsidP="00556BF5">
            <w:pPr>
              <w:pStyle w:val="a7"/>
              <w:ind w:left="142"/>
              <w:rPr>
                <w:rFonts w:ascii="Arial" w:hAnsi="Arial" w:cs="Arial"/>
                <w:sz w:val="18"/>
                <w:szCs w:val="17"/>
                <w:lang w:eastAsia="en-US"/>
              </w:rPr>
            </w:pPr>
          </w:p>
          <w:p w14:paraId="0328D04D" w14:textId="77777777" w:rsidR="00333E8D" w:rsidRPr="00333E8D" w:rsidRDefault="00333E8D" w:rsidP="00556BF5">
            <w:pPr>
              <w:pStyle w:val="a7"/>
              <w:numPr>
                <w:ilvl w:val="0"/>
                <w:numId w:val="2"/>
              </w:numPr>
              <w:ind w:left="142" w:hanging="142"/>
              <w:contextualSpacing/>
              <w:rPr>
                <w:rFonts w:ascii="Arial" w:hAnsi="Arial" w:cs="Arial"/>
                <w:sz w:val="18"/>
                <w:szCs w:val="17"/>
                <w:lang w:eastAsia="en-US"/>
              </w:rPr>
            </w:pPr>
            <w:r w:rsidRPr="00333E8D">
              <w:rPr>
                <w:rFonts w:ascii="Arial" w:hAnsi="Arial" w:cs="Arial"/>
                <w:sz w:val="18"/>
                <w:szCs w:val="17"/>
                <w:lang w:eastAsia="en-US"/>
              </w:rPr>
              <w:t>Договор носит долгосрочный характер и предусматривает обязательства Страхователя по регулярной оплате страховых взносов (если оплата не была единовременно)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C428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7"/>
              </w:rPr>
            </w:pPr>
          </w:p>
        </w:tc>
        <w:tc>
          <w:tcPr>
            <w:tcW w:w="5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31167D" w14:textId="77777777" w:rsidR="00333E8D" w:rsidRPr="00333E8D" w:rsidRDefault="00333E8D" w:rsidP="00556BF5">
            <w:pPr>
              <w:pStyle w:val="a7"/>
              <w:numPr>
                <w:ilvl w:val="0"/>
                <w:numId w:val="2"/>
              </w:numPr>
              <w:ind w:left="142" w:hanging="142"/>
              <w:contextualSpacing/>
              <w:rPr>
                <w:rFonts w:ascii="Arial" w:hAnsi="Arial" w:cs="Arial"/>
                <w:sz w:val="18"/>
                <w:szCs w:val="17"/>
                <w:lang w:eastAsia="en-US"/>
              </w:rPr>
            </w:pPr>
            <w:r w:rsidRPr="00333E8D">
              <w:rPr>
                <w:rFonts w:ascii="Arial" w:hAnsi="Arial" w:cs="Arial"/>
                <w:sz w:val="18"/>
                <w:szCs w:val="17"/>
                <w:lang w:eastAsia="en-US"/>
              </w:rPr>
              <w:t>При досрочном прекращении Договора выплачивается выкупная сумма, размер которой указан в Договоре и может быть меньше уплаченной страховой премии</w:t>
            </w:r>
          </w:p>
          <w:p w14:paraId="11388FBB" w14:textId="77777777" w:rsidR="00333E8D" w:rsidRPr="00333E8D" w:rsidRDefault="00333E8D" w:rsidP="00556BF5">
            <w:pPr>
              <w:pStyle w:val="a7"/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noProof/>
                <w:sz w:val="18"/>
                <w:szCs w:val="17"/>
                <w:lang w:eastAsia="en-US"/>
              </w:rPr>
            </w:pPr>
            <w:r w:rsidRPr="00333E8D">
              <w:rPr>
                <w:rFonts w:ascii="Arial" w:hAnsi="Arial" w:cs="Arial"/>
                <w:sz w:val="18"/>
                <w:szCs w:val="17"/>
                <w:lang w:eastAsia="en-US"/>
              </w:rPr>
              <w:t>Обязательства по Договору несет Страховщик, а не организация (страховой агент), при посредничестве которой заключен Договор</w:t>
            </w:r>
          </w:p>
          <w:p w14:paraId="41EEB600" w14:textId="77777777" w:rsidR="00333E8D" w:rsidRPr="00333E8D" w:rsidRDefault="00333E8D" w:rsidP="00556BF5">
            <w:pPr>
              <w:pStyle w:val="a7"/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noProof/>
                <w:sz w:val="18"/>
                <w:szCs w:val="17"/>
                <w:lang w:eastAsia="en-US"/>
              </w:rPr>
            </w:pPr>
            <w:r w:rsidRPr="00333E8D">
              <w:rPr>
                <w:rFonts w:ascii="Arial" w:hAnsi="Arial" w:cs="Arial"/>
                <w:sz w:val="18"/>
                <w:szCs w:val="17"/>
                <w:lang w:eastAsia="en-US"/>
              </w:rPr>
              <w:t xml:space="preserve">Договор включает Период охлаждения, в течение которого Вы можете отказаться от его заключения </w:t>
            </w:r>
          </w:p>
        </w:tc>
      </w:tr>
      <w:tr w:rsidR="00333E8D" w14:paraId="433BBBAE" w14:textId="77777777" w:rsidTr="00556BF5">
        <w:trPr>
          <w:trHeight w:val="57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0F6253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6"/>
                <w:szCs w:val="4"/>
              </w:rPr>
            </w:pPr>
          </w:p>
        </w:tc>
      </w:tr>
      <w:tr w:rsidR="00333E8D" w14:paraId="54709279" w14:textId="77777777" w:rsidTr="00556BF5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BDE85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645" w:dyaOrig="645" w14:anchorId="60204D82">
                <v:shape id="_x0000_i1028" type="#_x0000_t75" style="width:32.25pt;height:32.25pt" o:ole="">
                  <v:imagedata r:id="rId12" o:title=""/>
                </v:shape>
                <o:OLEObject Type="Embed" ProgID="PBrush" ShapeID="_x0000_i1028" DrawAspect="Content" ObjectID="_1694848342" r:id="rId13"/>
              </w:object>
            </w:r>
          </w:p>
        </w:tc>
        <w:tc>
          <w:tcPr>
            <w:tcW w:w="98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48C21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18"/>
              </w:rPr>
              <w:t>Основные условия страхования</w:t>
            </w:r>
          </w:p>
        </w:tc>
      </w:tr>
      <w:tr w:rsidR="00333E8D" w14:paraId="64F7F37C" w14:textId="77777777" w:rsidTr="00556BF5">
        <w:trPr>
          <w:trHeight w:val="57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B0068B" w14:textId="77777777" w:rsidR="00333E8D" w:rsidRDefault="00333E8D" w:rsidP="00556BF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"/>
              </w:rPr>
            </w:pPr>
          </w:p>
        </w:tc>
      </w:tr>
      <w:tr w:rsidR="00333E8D" w:rsidRPr="00333E8D" w14:paraId="116B6506" w14:textId="77777777" w:rsidTr="00556BF5">
        <w:tc>
          <w:tcPr>
            <w:tcW w:w="54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44D8F5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t xml:space="preserve">Полисные условия: </w:t>
            </w:r>
            <w:r w:rsidRPr="00333E8D">
              <w:rPr>
                <w:rFonts w:ascii="Arial" w:hAnsi="Arial" w:cs="Arial"/>
                <w:sz w:val="18"/>
                <w:szCs w:val="17"/>
              </w:rPr>
              <w:t>Полисные условия</w:t>
            </w:r>
            <w:r w:rsidRPr="00333E8D"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>страхования жизни и здоровья на случай  профессиональной непригодности «ПРОФЕССИОНАЛЬНАЯ ЗАЩИТА»</w:t>
            </w:r>
          </w:p>
          <w:p w14:paraId="4743DA9D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t xml:space="preserve">Объект страхования: 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>имущественные интересы, связанные с дожитием Страхователя до определенного срока, со смертью, причинением вреда здоровью</w:t>
            </w:r>
          </w:p>
          <w:p w14:paraId="112687F0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t xml:space="preserve">Страховые риски / страховые случаи: 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● </w:t>
            </w:r>
            <w:r w:rsidRPr="00333E8D">
              <w:rPr>
                <w:rFonts w:ascii="Arial" w:hAnsi="Arial" w:cs="Arial"/>
                <w:b/>
                <w:noProof/>
                <w:sz w:val="18"/>
                <w:szCs w:val="17"/>
              </w:rPr>
              <w:t>ДОЖИТИЕ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 до окончания срока страхования ● </w:t>
            </w:r>
            <w:r w:rsidRPr="00333E8D">
              <w:rPr>
                <w:rFonts w:ascii="Arial" w:hAnsi="Arial" w:cs="Arial"/>
                <w:b/>
                <w:noProof/>
                <w:sz w:val="18"/>
                <w:szCs w:val="17"/>
              </w:rPr>
              <w:t>СМЕРТЬ по любой причине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 </w:t>
            </w:r>
            <w:r w:rsidRPr="00333E8D">
              <w:rPr>
                <w:rFonts w:ascii="Arial" w:hAnsi="Arial" w:cs="Arial"/>
                <w:b/>
                <w:noProof/>
                <w:sz w:val="18"/>
                <w:szCs w:val="17"/>
              </w:rPr>
              <w:t>● ПРОФЕССИОНАЛЬНАЯ НЕПРИГОДНОСТЬ ● СМЕРТЬ в результате катастрофы на пассажирском авиационном, морском, железнодорожном транспорте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. </w:t>
            </w:r>
            <w:r w:rsidRPr="00333E8D">
              <w:rPr>
                <w:rFonts w:ascii="Arial" w:hAnsi="Arial" w:cs="Arial"/>
                <w:sz w:val="18"/>
                <w:szCs w:val="17"/>
              </w:rPr>
              <w:t>Исключения из страховых случаев: раздел 6 Договора (ссылки на пункты Полисных условий)</w:t>
            </w:r>
          </w:p>
          <w:p w14:paraId="0E39BFEF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noProof/>
                <w:sz w:val="18"/>
                <w:szCs w:val="17"/>
              </w:rPr>
              <w:t xml:space="preserve">Дополнительные опции: 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>● Льготный период: 60 календарных дней с даты, указанной в Договоре как дата уплаты очередного страхового взноса, но не чаще 2-х раз в год</w:t>
            </w:r>
          </w:p>
          <w:p w14:paraId="5884DAB6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7"/>
              </w:rPr>
            </w:pP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● </w:t>
            </w:r>
            <w:r w:rsidRPr="00333E8D">
              <w:rPr>
                <w:rFonts w:ascii="Arial" w:hAnsi="Arial" w:cs="Arial"/>
                <w:b/>
                <w:sz w:val="18"/>
                <w:szCs w:val="17"/>
              </w:rPr>
              <w:t xml:space="preserve">Порядок оплаты страховой премии: 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>ежемесячно / ежегодно / единовременно</w:t>
            </w:r>
          </w:p>
          <w:p w14:paraId="7BC75C5E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t>Страховые выплаты: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 ● ДОЖИТИЕ – 100% страховой суммы, СМЕРТЬ по любой причине – сумма уплдаченных страховых взносов ● ПРОФЕССИОНАЛЬНАЯ НЕПРИГОДНОСТЬ – 100% страховой суммы ● СМЕРТЬ в результате катастрофы на пассажирском авиационном, морском, железнодорожном транспорте</w:t>
            </w:r>
            <w:r w:rsidRPr="00333E8D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>– 100% страховой суммы.</w:t>
            </w:r>
            <w:r w:rsidRPr="00333E8D">
              <w:rPr>
                <w:rFonts w:ascii="Arial" w:hAnsi="Arial" w:cs="Arial"/>
                <w:sz w:val="18"/>
                <w:szCs w:val="17"/>
              </w:rPr>
              <w:t xml:space="preserve"> Документы, которые необходимо представить по страховому случаю: п.9.2 Договора. Сроки рассмотрения </w:t>
            </w:r>
            <w:r w:rsidRPr="00333E8D">
              <w:rPr>
                <w:rFonts w:ascii="Arial" w:hAnsi="Arial" w:cs="Arial"/>
                <w:sz w:val="18"/>
                <w:szCs w:val="17"/>
              </w:rPr>
              <w:lastRenderedPageBreak/>
              <w:t>обращений о страховой выплате: п.п.11.8-11.9 Полисных условий.</w:t>
            </w:r>
          </w:p>
        </w:tc>
        <w:tc>
          <w:tcPr>
            <w:tcW w:w="54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2F83B3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lastRenderedPageBreak/>
              <w:t xml:space="preserve">Выкупная сумма </w:t>
            </w:r>
            <w:r w:rsidRPr="00333E8D">
              <w:rPr>
                <w:rFonts w:ascii="Arial" w:hAnsi="Arial" w:cs="Arial"/>
                <w:sz w:val="18"/>
                <w:szCs w:val="17"/>
              </w:rPr>
              <w:t>(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>в проценте от страховой суммы по риску ДОЖИТИЕ): раздел 10 Договора</w:t>
            </w:r>
          </w:p>
          <w:p w14:paraId="7BDC461C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t>Период охлаждения:</w:t>
            </w:r>
            <w:r w:rsidRPr="00333E8D">
              <w:rPr>
                <w:rFonts w:ascii="Arial" w:hAnsi="Arial" w:cs="Arial"/>
                <w:sz w:val="18"/>
                <w:szCs w:val="17"/>
              </w:rPr>
              <w:t xml:space="preserve"> период времени, в течение которого Страхователь имеет право отказаться от исполнения Договора страхования. Период охлаждения начинается в дату заключения Договора страхования и заканчивается днем, предшествующим дню начала Срока страхования, но не ранее 14 (четырнадцати) календарных дней с даты заключения Договора страхования. </w:t>
            </w:r>
          </w:p>
          <w:p w14:paraId="4C7AA971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t>Досрочное прекращение</w:t>
            </w:r>
            <w:r w:rsidRPr="00333E8D">
              <w:rPr>
                <w:rFonts w:ascii="Arial" w:hAnsi="Arial" w:cs="Arial"/>
                <w:sz w:val="18"/>
                <w:szCs w:val="17"/>
              </w:rPr>
              <w:t>: при отказе Страхователя от Договора в Период охлаждения до даты начала его действия при отсутствии событий, имеющих признаки страхового случая, Страхователю возвращается уплаченная им страховая премия в полном размере. При отказе от Договора в Период охлаждения,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 даты начала действия страхования до даты его прекращения. Возврат страховой премии осуществляется в срок не свыше 10 рабочих дней со дня получения Страховщиком заявления Страхователя об отказе от Договора, которое подается Страховщику через его официальный сайт, либо путем личного обращения в офис Страховщика. П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ри досрочном прекращении Договора после окончания Периода охлаждения Страхователю выплачивается выкупная сумма по риску 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lastRenderedPageBreak/>
              <w:t>ДОЖИТИЕ, возврат страховой премии за неистекший срок страхования по другим рискам не производится.</w:t>
            </w:r>
          </w:p>
          <w:p w14:paraId="18C324E7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7"/>
              </w:rPr>
            </w:pPr>
            <w:r w:rsidRPr="00333E8D">
              <w:rPr>
                <w:rFonts w:ascii="Arial" w:hAnsi="Arial" w:cs="Arial"/>
                <w:b/>
                <w:sz w:val="18"/>
                <w:szCs w:val="17"/>
              </w:rPr>
              <w:t>Налогообложение:</w:t>
            </w:r>
            <w:r w:rsidRPr="00333E8D">
              <w:rPr>
                <w:rFonts w:ascii="Arial" w:hAnsi="Arial" w:cs="Arial"/>
                <w:noProof/>
                <w:sz w:val="18"/>
                <w:szCs w:val="17"/>
              </w:rPr>
              <w:t xml:space="preserve"> ● по случаям ухода из жизни страховые выплаты не облагаются налогом ● по дожитию: в соответствии со ст. 213 НК РФ</w:t>
            </w:r>
          </w:p>
        </w:tc>
      </w:tr>
      <w:tr w:rsidR="00333E8D" w14:paraId="44FDA8B9" w14:textId="77777777" w:rsidTr="00556BF5"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0F4602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</w:tc>
      </w:tr>
      <w:tr w:rsidR="00333E8D" w:rsidRPr="00333E8D" w14:paraId="44C9844F" w14:textId="77777777" w:rsidTr="00556BF5"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23E8D8F" w14:textId="77777777" w:rsidR="00333E8D" w:rsidRPr="00333E8D" w:rsidRDefault="00333E8D" w:rsidP="00556BF5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</w:rPr>
            </w:pPr>
            <w:r w:rsidRPr="00333E8D">
              <w:rPr>
                <w:rFonts w:ascii="Arial" w:hAnsi="Arial" w:cs="Arial"/>
                <w:b/>
                <w:noProof/>
                <w:sz w:val="16"/>
                <w:szCs w:val="17"/>
              </w:rPr>
              <w:t xml:space="preserve">Рекомендуемые способы оплаты страховых взносов, по которым не взимается комиссия: </w:t>
            </w:r>
            <w:r w:rsidRPr="00333E8D">
              <w:rPr>
                <w:rFonts w:ascii="Arial" w:hAnsi="Arial" w:cs="Arial"/>
                <w:noProof/>
                <w:sz w:val="16"/>
                <w:szCs w:val="17"/>
              </w:rPr>
              <w:t xml:space="preserve">через бухгалтерию по месту работы / банкоматы Банка ВТБ / сайт организации, при посредничестве которой заключен Договор (по заявлению об удержании страховых взносов) / </w:t>
            </w:r>
            <w:r w:rsidRPr="00333E8D">
              <w:rPr>
                <w:rFonts w:ascii="Arial" w:hAnsi="Arial" w:cs="Arial"/>
                <w:noProof/>
                <w:spacing w:val="-2"/>
                <w:sz w:val="16"/>
                <w:szCs w:val="17"/>
              </w:rPr>
              <w:t>Личный кабинет на сайте Страховщика (после уплаты первого страхового взноса)</w:t>
            </w:r>
          </w:p>
        </w:tc>
      </w:tr>
      <w:tr w:rsidR="00333E8D" w14:paraId="016F5AF6" w14:textId="77777777" w:rsidTr="00556BF5">
        <w:trPr>
          <w:trHeight w:val="1643"/>
        </w:trPr>
        <w:tc>
          <w:tcPr>
            <w:tcW w:w="10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E5B0FB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6"/>
                <w:szCs w:val="8"/>
              </w:rPr>
            </w:pPr>
          </w:p>
          <w:p w14:paraId="63C33E56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Взаимодействие Страховщика и Страхователя (Застрахованного лица, Выгодоприобретателя) осуществляется через Личный кабинет Страхователя на сайте Страховщика </w:t>
            </w:r>
            <w:hyperlink r:id="rId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www.lk.sogaz-life.ru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через сайт Страховщика </w:t>
            </w:r>
            <w:hyperlink r:id="rId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www.sogaz-life.ru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а также посредством телефонной и почтовой связи по реквизитам Страховщика, указанным в разделе 1 Договора страхования.</w:t>
            </w:r>
          </w:p>
          <w:p w14:paraId="543B4914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Страховая компания уведомляет о факте неоплаты очередного страхового взноса или его уплаты не в полном объеме посредством СМС- информирования, информирования по электронной почте (если реквизиты для информирования указаны Страхователем) и в Личном кабинете Страхователя на сайте Страховщика </w:t>
            </w:r>
            <w:hyperlink r:id="rId1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www.lk.sogaz-life.ru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3E8D" w14:paraId="289B0D1D" w14:textId="77777777" w:rsidTr="00556BF5"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80148EA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5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456FFAA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333E8D" w14:paraId="2D45DA6F" w14:textId="77777777" w:rsidTr="00556BF5">
        <w:trPr>
          <w:trHeight w:val="3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2E65A" w14:textId="77777777" w:rsidR="00333E8D" w:rsidRDefault="00333E8D" w:rsidP="00556BF5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С Памяткой ознакомлен(-а)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BFC37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78494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D5D6E4" w14:textId="4794D65F" w:rsidR="00333E8D" w:rsidRDefault="00333E8D" w:rsidP="00556BF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1BA5A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/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6DA25" w14:textId="77777777" w:rsidR="00333E8D" w:rsidRDefault="00333E8D" w:rsidP="00556BF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Дата: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9BBA45" w14:textId="6CDF24D4" w:rsidR="00333E8D" w:rsidRDefault="00333E8D" w:rsidP="00556BF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BD9A76B" w14:textId="77777777" w:rsidR="00333E8D" w:rsidRDefault="00333E8D" w:rsidP="00333E8D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Style w:val="ac"/>
        <w:tblW w:w="10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7"/>
        <w:gridCol w:w="5498"/>
      </w:tblGrid>
      <w:tr w:rsidR="00333E8D" w14:paraId="5D48402C" w14:textId="77777777" w:rsidTr="00556BF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89E92" w14:textId="77777777" w:rsidR="00333E8D" w:rsidRDefault="00333E8D" w:rsidP="00556BF5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 настоящая Памятка носит справочный характер и предназначена для разъяснения условий страхования. Объем обязательств ООО «СК СОГАЗ-ЖИЗНЬ» (страховые риски, страховые суммы, 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813B1" w14:textId="77777777" w:rsidR="00333E8D" w:rsidRDefault="00333E8D" w:rsidP="00556BF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страховые выплаты), права Страхователя и иные условия страхования определены в Полисных условиях на сайте Страховщика </w:t>
            </w:r>
            <w:r>
              <w:rPr>
                <w:rStyle w:val="a3"/>
                <w:rFonts w:ascii="Arial" w:hAnsi="Arial" w:cs="Arial"/>
                <w:sz w:val="16"/>
                <w:szCs w:val="16"/>
              </w:rPr>
              <w:t xml:space="preserve">&lt;ссылка на Полисные условия&gt; </w:t>
            </w:r>
            <w:r>
              <w:rPr>
                <w:rFonts w:ascii="Arial" w:hAnsi="Arial" w:cs="Arial"/>
                <w:sz w:val="16"/>
                <w:szCs w:val="16"/>
              </w:rPr>
              <w:t>и Договоре страхования.</w:t>
            </w:r>
          </w:p>
        </w:tc>
      </w:tr>
    </w:tbl>
    <w:p w14:paraId="37D2ADC7" w14:textId="77777777" w:rsidR="00F84812" w:rsidRDefault="00F84812"/>
    <w:sectPr w:rsidR="00F84812" w:rsidSect="00BC068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42C"/>
    <w:multiLevelType w:val="hybridMultilevel"/>
    <w:tmpl w:val="04C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445"/>
    <w:multiLevelType w:val="hybridMultilevel"/>
    <w:tmpl w:val="20B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9B"/>
    <w:rsid w:val="00292F10"/>
    <w:rsid w:val="00333E8D"/>
    <w:rsid w:val="0055639B"/>
    <w:rsid w:val="00A64E40"/>
    <w:rsid w:val="00C93223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08EA"/>
  <w15:chartTrackingRefBased/>
  <w15:docId w15:val="{99C6ACE6-3A75-4D35-A156-99389CF6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3E8D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33E8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333E8D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33E8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3E8D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33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333E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Àáçàö ïðàâèë"/>
    <w:uiPriority w:val="99"/>
    <w:rsid w:val="00333E8D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333E8D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NTHelvetica/Cyrillic"/>
      <w:sz w:val="24"/>
      <w:szCs w:val="24"/>
      <w:lang w:eastAsia="ru-RU"/>
    </w:rPr>
  </w:style>
  <w:style w:type="paragraph" w:customStyle="1" w:styleId="a9">
    <w:name w:val="Абзац правил"/>
    <w:uiPriority w:val="99"/>
    <w:rsid w:val="00333E8D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бычный Знак"/>
    <w:link w:val="ab"/>
    <w:locked/>
    <w:rsid w:val="00333E8D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ab">
    <w:name w:val="бычный"/>
    <w:link w:val="aa"/>
    <w:rsid w:val="00333E8D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333E8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33E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uiPriority w:val="99"/>
    <w:rsid w:val="00333E8D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c">
    <w:name w:val="Table Grid"/>
    <w:basedOn w:val="a1"/>
    <w:uiPriority w:val="59"/>
    <w:rsid w:val="00333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3E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3E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33E8D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3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k.sogaz-lif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hyperlink" Target="http://www.sogaz-life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lk.sogaz-l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2021-10-04T07:24:00Z</cp:lastPrinted>
  <dcterms:created xsi:type="dcterms:W3CDTF">2021-10-04T07:23:00Z</dcterms:created>
  <dcterms:modified xsi:type="dcterms:W3CDTF">2021-10-04T07:26:00Z</dcterms:modified>
</cp:coreProperties>
</file>